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606"/>
        <w:gridCol w:w="4606"/>
      </w:tblGrid>
      <w:tr w:rsidR="00B97A30" w:rsidRPr="001446BA" w:rsidTr="00BA5350">
        <w:tc>
          <w:tcPr>
            <w:tcW w:w="4606" w:type="dxa"/>
          </w:tcPr>
          <w:p w:rsidR="00B97A30" w:rsidRPr="001446BA" w:rsidRDefault="00B97A30" w:rsidP="00BA5350">
            <w:pPr>
              <w:spacing w:after="0" w:line="360" w:lineRule="auto"/>
              <w:jc w:val="both"/>
              <w:rPr>
                <w:sz w:val="24"/>
                <w:szCs w:val="24"/>
              </w:rPr>
            </w:pPr>
            <w:r w:rsidRPr="001446BA">
              <w:rPr>
                <w:sz w:val="24"/>
                <w:szCs w:val="24"/>
              </w:rPr>
              <w:t>Árva kutyák megsegítése</w:t>
            </w:r>
          </w:p>
        </w:tc>
        <w:tc>
          <w:tcPr>
            <w:tcW w:w="4606" w:type="dxa"/>
          </w:tcPr>
          <w:p w:rsidR="00B97A30" w:rsidRPr="001446BA" w:rsidRDefault="00B97A30" w:rsidP="00BA5350">
            <w:pPr>
              <w:spacing w:after="0" w:line="360" w:lineRule="auto"/>
              <w:jc w:val="both"/>
              <w:rPr>
                <w:sz w:val="24"/>
                <w:szCs w:val="24"/>
              </w:rPr>
            </w:pPr>
            <w:r w:rsidRPr="001446BA">
              <w:rPr>
                <w:sz w:val="24"/>
                <w:szCs w:val="24"/>
              </w:rPr>
              <w:t>civil projekt</w:t>
            </w:r>
          </w:p>
        </w:tc>
      </w:tr>
      <w:tr w:rsidR="00B97A30" w:rsidRPr="001446BA" w:rsidTr="00BA5350">
        <w:trPr>
          <w:trHeight w:val="723"/>
        </w:trPr>
        <w:tc>
          <w:tcPr>
            <w:tcW w:w="4606" w:type="dxa"/>
          </w:tcPr>
          <w:p w:rsidR="00B97A30" w:rsidRPr="001446BA" w:rsidRDefault="00B97A30" w:rsidP="00BA5350">
            <w:pPr>
              <w:spacing w:after="0" w:line="360" w:lineRule="auto"/>
              <w:jc w:val="both"/>
              <w:rPr>
                <w:sz w:val="24"/>
                <w:szCs w:val="24"/>
              </w:rPr>
            </w:pPr>
            <w:r w:rsidRPr="001446BA">
              <w:rPr>
                <w:sz w:val="24"/>
                <w:szCs w:val="24"/>
              </w:rPr>
              <w:t>Balló Márton</w:t>
            </w:r>
          </w:p>
        </w:tc>
        <w:tc>
          <w:tcPr>
            <w:tcW w:w="4606" w:type="dxa"/>
          </w:tcPr>
          <w:p w:rsidR="00B97A30" w:rsidRPr="001446BA" w:rsidRDefault="00B97A30" w:rsidP="00BA5350">
            <w:pPr>
              <w:spacing w:after="0" w:line="360" w:lineRule="auto"/>
              <w:jc w:val="both"/>
              <w:rPr>
                <w:sz w:val="24"/>
                <w:szCs w:val="24"/>
              </w:rPr>
            </w:pPr>
            <w:r w:rsidRPr="001446BA">
              <w:rPr>
                <w:sz w:val="24"/>
                <w:szCs w:val="24"/>
              </w:rPr>
              <w:t>kreatív projektmanager</w:t>
            </w:r>
          </w:p>
        </w:tc>
      </w:tr>
      <w:tr w:rsidR="00B97A30" w:rsidRPr="001446BA" w:rsidTr="00BA5350">
        <w:trPr>
          <w:trHeight w:val="456"/>
        </w:trPr>
        <w:tc>
          <w:tcPr>
            <w:tcW w:w="4606" w:type="dxa"/>
          </w:tcPr>
          <w:p w:rsidR="00B97A30" w:rsidRPr="001446BA" w:rsidRDefault="00B97A30" w:rsidP="00BA5350">
            <w:pPr>
              <w:spacing w:after="0" w:line="360" w:lineRule="auto"/>
              <w:jc w:val="both"/>
              <w:rPr>
                <w:sz w:val="24"/>
                <w:szCs w:val="24"/>
              </w:rPr>
            </w:pPr>
            <w:r w:rsidRPr="001446BA">
              <w:rPr>
                <w:sz w:val="24"/>
                <w:szCs w:val="24"/>
              </w:rPr>
              <w:t>Halpern Bence</w:t>
            </w:r>
          </w:p>
        </w:tc>
        <w:tc>
          <w:tcPr>
            <w:tcW w:w="4606" w:type="dxa"/>
          </w:tcPr>
          <w:p w:rsidR="00B97A30" w:rsidRPr="001446BA" w:rsidRDefault="00B97A30" w:rsidP="00BA5350">
            <w:pPr>
              <w:spacing w:after="0" w:line="360" w:lineRule="auto"/>
              <w:jc w:val="both"/>
              <w:rPr>
                <w:sz w:val="24"/>
                <w:szCs w:val="24"/>
              </w:rPr>
            </w:pPr>
            <w:r w:rsidRPr="001446BA">
              <w:rPr>
                <w:sz w:val="24"/>
                <w:szCs w:val="24"/>
              </w:rPr>
              <w:t>operatív projektmanager</w:t>
            </w:r>
          </w:p>
        </w:tc>
      </w:tr>
      <w:tr w:rsidR="00B97A30" w:rsidRPr="001446BA" w:rsidTr="00BA5350">
        <w:trPr>
          <w:trHeight w:val="508"/>
        </w:trPr>
        <w:tc>
          <w:tcPr>
            <w:tcW w:w="4606" w:type="dxa"/>
          </w:tcPr>
          <w:p w:rsidR="00B97A30" w:rsidRPr="001446BA" w:rsidRDefault="00B97A30" w:rsidP="00BA5350">
            <w:pPr>
              <w:spacing w:after="0" w:line="360" w:lineRule="auto"/>
              <w:jc w:val="both"/>
              <w:rPr>
                <w:sz w:val="24"/>
                <w:szCs w:val="24"/>
              </w:rPr>
            </w:pPr>
            <w:r w:rsidRPr="001446BA">
              <w:rPr>
                <w:sz w:val="24"/>
                <w:szCs w:val="24"/>
              </w:rPr>
              <w:t>Karl Amina</w:t>
            </w:r>
          </w:p>
        </w:tc>
        <w:tc>
          <w:tcPr>
            <w:tcW w:w="4606" w:type="dxa"/>
          </w:tcPr>
          <w:p w:rsidR="00B97A30" w:rsidRPr="001446BA" w:rsidRDefault="00B97A30" w:rsidP="00BA5350">
            <w:pPr>
              <w:spacing w:after="0" w:line="360" w:lineRule="auto"/>
              <w:jc w:val="both"/>
              <w:rPr>
                <w:sz w:val="24"/>
                <w:szCs w:val="24"/>
              </w:rPr>
            </w:pPr>
            <w:r w:rsidRPr="001446BA">
              <w:rPr>
                <w:sz w:val="24"/>
                <w:szCs w:val="24"/>
              </w:rPr>
              <w:t>HR projektmanager</w:t>
            </w:r>
          </w:p>
        </w:tc>
      </w:tr>
      <w:tr w:rsidR="00B97A30" w:rsidRPr="001446BA" w:rsidTr="00BA5350">
        <w:trPr>
          <w:trHeight w:val="564"/>
        </w:trPr>
        <w:tc>
          <w:tcPr>
            <w:tcW w:w="4606" w:type="dxa"/>
          </w:tcPr>
          <w:p w:rsidR="00B97A30" w:rsidRPr="001446BA" w:rsidRDefault="00B97A30" w:rsidP="00BA5350">
            <w:pPr>
              <w:spacing w:after="0" w:line="360" w:lineRule="auto"/>
              <w:jc w:val="both"/>
              <w:rPr>
                <w:sz w:val="24"/>
                <w:szCs w:val="24"/>
              </w:rPr>
            </w:pPr>
            <w:r w:rsidRPr="001446BA">
              <w:rPr>
                <w:sz w:val="24"/>
                <w:szCs w:val="24"/>
              </w:rPr>
              <w:t>Reiser Balázs</w:t>
            </w:r>
          </w:p>
        </w:tc>
        <w:tc>
          <w:tcPr>
            <w:tcW w:w="4606" w:type="dxa"/>
          </w:tcPr>
          <w:p w:rsidR="00B97A30" w:rsidRPr="001446BA" w:rsidRDefault="00B97A30" w:rsidP="00BA5350">
            <w:pPr>
              <w:spacing w:after="0" w:line="360" w:lineRule="auto"/>
              <w:jc w:val="both"/>
              <w:rPr>
                <w:sz w:val="24"/>
                <w:szCs w:val="24"/>
              </w:rPr>
            </w:pPr>
            <w:r w:rsidRPr="001446BA">
              <w:rPr>
                <w:sz w:val="24"/>
                <w:szCs w:val="24"/>
              </w:rPr>
              <w:t>regionális projektmanager</w:t>
            </w:r>
          </w:p>
        </w:tc>
      </w:tr>
    </w:tbl>
    <w:p w:rsidR="00B97A30" w:rsidRDefault="00B97A30" w:rsidP="00EC419E">
      <w:pPr>
        <w:spacing w:line="360" w:lineRule="auto"/>
        <w:jc w:val="both"/>
        <w:rPr>
          <w:sz w:val="24"/>
          <w:szCs w:val="24"/>
        </w:rPr>
      </w:pPr>
    </w:p>
    <w:p w:rsidR="00B97A30" w:rsidRPr="008132D3" w:rsidRDefault="00B97A30" w:rsidP="001446BA">
      <w:pPr>
        <w:spacing w:line="240" w:lineRule="auto"/>
        <w:jc w:val="both"/>
        <w:rPr>
          <w:sz w:val="24"/>
          <w:szCs w:val="24"/>
        </w:rPr>
      </w:pPr>
      <w:r>
        <w:rPr>
          <w:sz w:val="24"/>
          <w:szCs w:val="24"/>
        </w:rPr>
        <w:t>Projektünk célja az árva, rászoruló kutyák megsegítése</w:t>
      </w:r>
      <w:r w:rsidRPr="008132D3">
        <w:rPr>
          <w:sz w:val="24"/>
          <w:szCs w:val="24"/>
        </w:rPr>
        <w:t>. Ezért hétfőn felvettük a kapcsolatot egy hasonló célért küzdő szervezettel, a Szentendrei Árvácska Állatvédő Egyesülettel. Megbeszéltük, hogy hogyan tudnánk tenni ezért a célért.</w:t>
      </w:r>
    </w:p>
    <w:p w:rsidR="00B97A30" w:rsidRDefault="00B97A30" w:rsidP="001446BA">
      <w:pPr>
        <w:spacing w:line="240" w:lineRule="auto"/>
        <w:jc w:val="both"/>
        <w:rPr>
          <w:sz w:val="24"/>
          <w:szCs w:val="24"/>
        </w:rPr>
      </w:pPr>
      <w:r w:rsidRPr="008132D3">
        <w:rPr>
          <w:sz w:val="24"/>
          <w:szCs w:val="24"/>
        </w:rPr>
        <w:t>Kedden ezért meglátogattuk Szentendre külterületén elhelyezkedő menhelyüket. Itt először apró félreértés miatt rossz telepre mentünk, a Gyepmesteri Telepre, ami közvetlenül az Árvácska Állatvédő Egyesület menhelye mellett található meg. Mivel a szakterületük hasonló</w:t>
      </w:r>
      <w:r>
        <w:rPr>
          <w:sz w:val="24"/>
          <w:szCs w:val="24"/>
        </w:rPr>
        <w:t xml:space="preserve"> (a Gyepmester is egy menhely, viszont ott csak kutyák vannak)</w:t>
      </w:r>
      <w:r w:rsidRPr="008132D3">
        <w:rPr>
          <w:sz w:val="24"/>
          <w:szCs w:val="24"/>
        </w:rPr>
        <w:t>, ezért úgy döntöttünk, hogy kapcsolati hálónk kiváló bővítése lehetne az, ha együttműködünk velük is.</w:t>
      </w:r>
      <w:r>
        <w:rPr>
          <w:sz w:val="24"/>
          <w:szCs w:val="24"/>
        </w:rPr>
        <w:t xml:space="preserve"> A napunk első felét itt töltöttük és később mentünk az Árvácskába át. Mindkét helyen rendkívül barátságos fogadtatásban és szívélyességben volt részünk.</w:t>
      </w:r>
    </w:p>
    <w:p w:rsidR="00B97A30" w:rsidRDefault="00B97A30" w:rsidP="001446BA">
      <w:pPr>
        <w:spacing w:line="240" w:lineRule="auto"/>
        <w:jc w:val="both"/>
        <w:rPr>
          <w:sz w:val="24"/>
          <w:szCs w:val="24"/>
        </w:rPr>
      </w:pPr>
      <w:r>
        <w:rPr>
          <w:sz w:val="24"/>
          <w:szCs w:val="24"/>
        </w:rPr>
        <w:t>Az együttműködés mibenléte az volt, hogy különböző típusú és különböző helyről származó kutyákat sétáltattunk, törődtünk velük, lakhelyüket tisztábbá varázsolásában segítettünk. A sétáltatás révén megismerkedtünk a különböző ebek viselkedésével mindennapi szituációkban.</w:t>
      </w:r>
    </w:p>
    <w:p w:rsidR="00B97A30" w:rsidRDefault="00B97A30" w:rsidP="001446BA">
      <w:pPr>
        <w:spacing w:line="240" w:lineRule="auto"/>
        <w:jc w:val="both"/>
        <w:rPr>
          <w:sz w:val="24"/>
          <w:szCs w:val="24"/>
        </w:rPr>
      </w:pPr>
      <w:r>
        <w:rPr>
          <w:sz w:val="24"/>
          <w:szCs w:val="24"/>
        </w:rPr>
        <w:t xml:space="preserve">Sok dologgal megismerkedtünk a menhelyen. Meglepetésként ért, hogy a menhelyek hangulata korántsem olyan sötét, nyirkos és kilátástalan, mint ahogy a televíziós reklámokban lefestik, ám annál sokkal zajosabb. A különbség a két telep között elsősorban az állatok számában és tartásukban volt megfigyelhető. Az Árvácskában több mint száz eb található, míg a Gyepmesteri Telepen még félszáz sem. </w:t>
      </w:r>
    </w:p>
    <w:p w:rsidR="00B97A30" w:rsidRDefault="00B97A30" w:rsidP="001446BA">
      <w:pPr>
        <w:spacing w:line="240" w:lineRule="auto"/>
        <w:jc w:val="both"/>
        <w:rPr>
          <w:sz w:val="24"/>
          <w:szCs w:val="24"/>
        </w:rPr>
      </w:pPr>
      <w:r>
        <w:rPr>
          <w:sz w:val="24"/>
          <w:szCs w:val="24"/>
        </w:rPr>
        <w:t>Mind a két telepen a kutyák összeszoktatásán ügyködnek, mert ez jobb a kutyáknak is és így helytakarékosabb, több állatot tudnak befogadni a menhelyek. Az Árvácskában macskák is kapnak otthont, egy kis, családias hangulatú szobában, amely teli van kaparófával, játékokkal, takaróval. Mindkét telepen vannak állandó önkéntesek, akik szívükön viselik a kutyák sorsát, még ha haza nem is tudják őket vinni és így minden délelőtt meglátogatják őket.</w:t>
      </w:r>
    </w:p>
    <w:p w:rsidR="00B97A30" w:rsidRDefault="00B97A30" w:rsidP="001446BA">
      <w:pPr>
        <w:spacing w:line="240" w:lineRule="auto"/>
        <w:jc w:val="both"/>
        <w:rPr>
          <w:sz w:val="24"/>
          <w:szCs w:val="24"/>
        </w:rPr>
      </w:pPr>
      <w:r>
        <w:rPr>
          <w:sz w:val="24"/>
          <w:szCs w:val="24"/>
        </w:rPr>
        <w:t xml:space="preserve">A szerdai napon hasonlóan folytattuk a tevékenységünket és a délután folyamán belekezdtünk a projekt kivitelezésébe, a projekt folytatásának megbeszélésébe. A jövőt abban látjuk, ha minél több embert beszervezünk önkéntes munkákra. Az állattartás nem mindenkinek adatik meg, mert nem tudja megteremteni otthon ennek körülményeit, de az önkéntesség lehetősége mindenki előtt nyitva áll. Ez azért fontos, mert az állattartás élménye és tapasztalatai minden ember számára fontosak, olyan dolgokat lehet tanulni, amelyek elengedhetetlenek a felelős gyerekneveléshez és a hosszú távú emberi kapcsolatokhoz, amely a civilizáció alapját adja. </w:t>
      </w:r>
    </w:p>
    <w:p w:rsidR="00B97A30" w:rsidRPr="008132D3" w:rsidRDefault="00B97A30" w:rsidP="00EC419E">
      <w:pPr>
        <w:spacing w:line="360" w:lineRule="auto"/>
        <w:rPr>
          <w:sz w:val="24"/>
          <w:szCs w:val="24"/>
        </w:rPr>
      </w:pPr>
    </w:p>
    <w:p w:rsidR="00B97A30" w:rsidRDefault="00B97A30"/>
    <w:sectPr w:rsidR="00B97A30" w:rsidSect="001B1BE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30" w:rsidRDefault="00B97A30" w:rsidP="009E6E35">
      <w:pPr>
        <w:spacing w:after="0" w:line="240" w:lineRule="auto"/>
      </w:pPr>
      <w:r>
        <w:separator/>
      </w:r>
    </w:p>
  </w:endnote>
  <w:endnote w:type="continuationSeparator" w:id="0">
    <w:p w:rsidR="00B97A30" w:rsidRDefault="00B97A30" w:rsidP="009E6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30" w:rsidRDefault="00B97A30">
    <w:pPr>
      <w:pStyle w:val="Footer"/>
    </w:pPr>
    <w:fldSimple w:instr=" PAGE   \* MERGEFORMAT ">
      <w:r>
        <w:rPr>
          <w:noProof/>
        </w:rPr>
        <w:t>2</w:t>
      </w:r>
    </w:fldSimple>
    <w:r>
      <w:tab/>
    </w:r>
    <w:r>
      <w:tab/>
      <w:t>2013.03.13.</w:t>
    </w:r>
  </w:p>
  <w:p w:rsidR="00B97A30" w:rsidRDefault="00B97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30" w:rsidRDefault="00B97A30" w:rsidP="009E6E35">
      <w:pPr>
        <w:spacing w:after="0" w:line="240" w:lineRule="auto"/>
      </w:pPr>
      <w:r>
        <w:separator/>
      </w:r>
    </w:p>
  </w:footnote>
  <w:footnote w:type="continuationSeparator" w:id="0">
    <w:p w:rsidR="00B97A30" w:rsidRDefault="00B97A30" w:rsidP="009E6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30" w:rsidRDefault="00B97A30">
    <w:pPr>
      <w:pStyle w:val="Header"/>
    </w:pPr>
    <w:r>
      <w:t>Civil projekt témahét beszámoló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19E"/>
    <w:rsid w:val="001446BA"/>
    <w:rsid w:val="001B1BEF"/>
    <w:rsid w:val="00382630"/>
    <w:rsid w:val="004D7B4E"/>
    <w:rsid w:val="008132D3"/>
    <w:rsid w:val="009E6E35"/>
    <w:rsid w:val="00B8541C"/>
    <w:rsid w:val="00B97A30"/>
    <w:rsid w:val="00BA5350"/>
    <w:rsid w:val="00EC41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C41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C419E"/>
    <w:rPr>
      <w:rFonts w:cs="Times New Roman"/>
    </w:rPr>
  </w:style>
  <w:style w:type="paragraph" w:styleId="Footer">
    <w:name w:val="footer"/>
    <w:basedOn w:val="Normal"/>
    <w:link w:val="FooterChar"/>
    <w:uiPriority w:val="99"/>
    <w:rsid w:val="00EC419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C419E"/>
    <w:rPr>
      <w:rFonts w:cs="Times New Roman"/>
    </w:rPr>
  </w:style>
  <w:style w:type="table" w:styleId="TableGrid">
    <w:name w:val="Table Grid"/>
    <w:basedOn w:val="TableNormal"/>
    <w:uiPriority w:val="99"/>
    <w:rsid w:val="00EC41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348</Words>
  <Characters>2408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Árva kutyák megsegítése</dc:title>
  <dc:subject/>
  <dc:creator>Balazs</dc:creator>
  <cp:keywords/>
  <dc:description/>
  <cp:lastModifiedBy>Zsuzsa</cp:lastModifiedBy>
  <cp:revision>2</cp:revision>
  <cp:lastPrinted>2013-03-14T10:59:00Z</cp:lastPrinted>
  <dcterms:created xsi:type="dcterms:W3CDTF">2013-03-14T10:59:00Z</dcterms:created>
  <dcterms:modified xsi:type="dcterms:W3CDTF">2013-03-14T10:59:00Z</dcterms:modified>
</cp:coreProperties>
</file>